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hint="eastAsia"/>
          <w:bCs/>
          <w:szCs w:val="32"/>
        </w:rPr>
      </w:pPr>
      <w:r>
        <w:rPr>
          <w:rFonts w:hint="eastAsia"/>
          <w:bCs/>
          <w:szCs w:val="32"/>
        </w:rPr>
        <w:t xml:space="preserve">   合同编号：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项目委托研究合同书</w:t>
      </w: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项目名称：</w:t>
      </w: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委托人（甲方）：</w:t>
      </w: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受托人（乙方）：</w:t>
      </w:r>
      <w:r>
        <w:rPr>
          <w:rFonts w:hint="eastAsia"/>
          <w:b/>
          <w:sz w:val="32"/>
          <w:szCs w:val="32"/>
          <w:lang w:eastAsia="zh-CN"/>
        </w:rPr>
        <w:t>深圳市宝安区松岗人民</w:t>
      </w:r>
      <w:r>
        <w:rPr>
          <w:rFonts w:hint="eastAsia"/>
          <w:b/>
          <w:sz w:val="32"/>
          <w:szCs w:val="32"/>
        </w:rPr>
        <w:t>医院</w:t>
      </w: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签订日期：    年    月    日</w:t>
      </w: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left"/>
        <w:rPr>
          <w:rFonts w:hint="eastAsia"/>
          <w:b/>
          <w:sz w:val="32"/>
          <w:szCs w:val="32"/>
        </w:rPr>
      </w:pPr>
    </w:p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临床试验协议书</w:t>
      </w:r>
    </w:p>
    <w:p>
      <w:pPr>
        <w:spacing w:line="360" w:lineRule="auto"/>
      </w:pPr>
      <w:r>
        <w:t>甲方：</w:t>
      </w:r>
      <w:r>
        <w:rPr>
          <w:rFonts w:hint="eastAsia"/>
        </w:rPr>
        <w:t>______________</w:t>
      </w:r>
      <w:r>
        <w:rPr>
          <w:rFonts w:hint="eastAsia"/>
          <w:u w:val="single"/>
        </w:rPr>
        <w:t xml:space="preserve">                           </w:t>
      </w:r>
      <w:r>
        <w:t>公司</w:t>
      </w:r>
    </w:p>
    <w:p>
      <w:pPr>
        <w:spacing w:line="360" w:lineRule="auto"/>
      </w:pPr>
      <w:r>
        <w:t>乙方：</w:t>
      </w:r>
      <w:r>
        <w:rPr>
          <w:rFonts w:hint="eastAsia"/>
        </w:rPr>
        <w:t>_____________</w:t>
      </w:r>
      <w:r>
        <w:rPr>
          <w:rFonts w:hint="eastAsia"/>
          <w:u w:val="single"/>
        </w:rPr>
        <w:t xml:space="preserve">_                           </w:t>
      </w:r>
      <w:r>
        <w:rPr>
          <w:rFonts w:hint="eastAsia"/>
        </w:rPr>
        <w:t>医院</w:t>
      </w:r>
    </w:p>
    <w:p>
      <w:pPr>
        <w:spacing w:line="360" w:lineRule="auto"/>
      </w:pPr>
    </w:p>
    <w:p>
      <w:pPr>
        <w:spacing w:line="360" w:lineRule="auto"/>
      </w:pPr>
      <w:r>
        <w:rPr>
          <w:highlight w:val="yellow"/>
        </w:rPr>
        <w:t>药物开发背景介绍，及委托我院参与研究的前提阐述。</w:t>
      </w:r>
    </w:p>
    <w:p>
      <w:pPr>
        <w:spacing w:line="360" w:lineRule="auto"/>
      </w:pPr>
    </w:p>
    <w:p>
      <w:pPr>
        <w:spacing w:line="360" w:lineRule="auto"/>
        <w:rPr>
          <w:rFonts w:hint="eastAsia"/>
        </w:rPr>
      </w:pPr>
      <w:r>
        <w:t>研究题目</w:t>
      </w:r>
      <w:r>
        <w:rPr>
          <w:rFonts w:hint="eastAsia"/>
        </w:rPr>
        <w:t>：</w:t>
      </w:r>
    </w:p>
    <w:p>
      <w:pPr>
        <w:spacing w:line="360" w:lineRule="auto"/>
      </w:pPr>
      <w:r>
        <w:t>方案编号：</w:t>
      </w:r>
    </w:p>
    <w:p>
      <w:pPr>
        <w:spacing w:line="360" w:lineRule="auto"/>
      </w:pPr>
      <w:r>
        <w:rPr>
          <w:rFonts w:hint="eastAsia"/>
        </w:rPr>
        <w:t>试验类别：□国际多中心□国内多中心  □单中心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试验分期：□Ⅰ期     □Ⅱ期     □Ⅲ期      □Ⅳ期     □研究者发起临床试验</w:t>
      </w:r>
    </w:p>
    <w:p>
      <w:pPr>
        <w:spacing w:line="360" w:lineRule="auto"/>
      </w:pPr>
    </w:p>
    <w:p>
      <w:pPr>
        <w:spacing w:line="360" w:lineRule="auto"/>
        <w:rPr>
          <w:rFonts w:hint="eastAsia"/>
          <w:b/>
        </w:rPr>
      </w:pPr>
      <w:r>
        <w:rPr>
          <w:b/>
        </w:rPr>
        <w:t>双方责任与义务</w:t>
      </w:r>
    </w:p>
    <w:p>
      <w:pPr>
        <w:spacing w:line="360" w:lineRule="auto"/>
      </w:pPr>
      <w:r>
        <w:t>甲方：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甲方</w:t>
      </w:r>
      <w:r>
        <w:t>免费向乙方提供</w:t>
      </w:r>
      <w:r>
        <w:rPr>
          <w:rFonts w:hint="eastAsia"/>
        </w:rPr>
        <w:t>临床</w:t>
      </w:r>
      <w:r>
        <w:t>研究用文件夹、临床试验方案、试验材料、受试者知情同意书、病例报告表</w:t>
      </w:r>
      <w:r>
        <w:rPr>
          <w:rFonts w:hint="eastAsia"/>
          <w:szCs w:val="21"/>
        </w:rPr>
        <w:t>（</w:t>
      </w:r>
      <w:r>
        <w:rPr>
          <w:szCs w:val="21"/>
        </w:rPr>
        <w:t>CRF</w:t>
      </w:r>
      <w:r>
        <w:rPr>
          <w:rFonts w:hint="eastAsia"/>
          <w:szCs w:val="21"/>
        </w:rPr>
        <w:t>）</w:t>
      </w:r>
      <w:r>
        <w:rPr>
          <w:szCs w:val="21"/>
        </w:rPr>
        <w:t>、严重</w:t>
      </w:r>
      <w:r>
        <w:t>不良事件记录表等。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</w:rPr>
      </w:pPr>
      <w:r>
        <w:t>甲方负责对乙方的研究人员进行</w:t>
      </w:r>
      <w:r>
        <w:rPr>
          <w:rFonts w:hint="eastAsia"/>
        </w:rPr>
        <w:t>与</w:t>
      </w:r>
      <w:r>
        <w:t>该临床研究有关的培训。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甲方</w:t>
      </w:r>
      <w:r>
        <w:t>在临床试验进行期间，负责派遣临床监查员对临床试验进行定期和不定期的监查，并就监查中发现的问题与乙方协商解决。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</w:rPr>
      </w:pPr>
      <w:r>
        <w:t>甲方负责向乙方</w:t>
      </w:r>
      <w:r>
        <w:rPr>
          <w:rFonts w:hint="eastAsia"/>
        </w:rPr>
        <w:t>回收</w:t>
      </w:r>
      <w:r>
        <w:t>剩余药物。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</w:rPr>
      </w:pPr>
      <w:r>
        <w:t>甲方负责对临床试验结果进行数据统计并完成统计分析报告。</w:t>
      </w:r>
    </w:p>
    <w:p>
      <w:pPr>
        <w:widowControl/>
        <w:numPr>
          <w:ilvl w:val="0"/>
          <w:numId w:val="1"/>
        </w:numPr>
        <w:spacing w:line="360" w:lineRule="auto"/>
        <w:jc w:val="left"/>
      </w:pPr>
      <w:r>
        <w:t>申办者在相关法律法规规定的范畴内，向研究者及其供职的医疗机构提供与临床试验相关的法律上、经济上的保险或担保，但不包括研究者及其供职的医疗机构自身的过失所致的损害。</w:t>
      </w:r>
    </w:p>
    <w:p>
      <w:pPr>
        <w:widowControl/>
        <w:numPr>
          <w:ilvl w:val="0"/>
          <w:numId w:val="1"/>
        </w:numPr>
        <w:spacing w:line="360" w:lineRule="auto"/>
        <w:jc w:val="left"/>
      </w:pPr>
      <w:r>
        <w:t>申办者负责承担受试者与试验相关的损害或死亡的诊疗费用，和相应的经济补偿。申办者和研究者应及时兑付给予受试者的补偿。</w:t>
      </w:r>
    </w:p>
    <w:p>
      <w:pPr>
        <w:spacing w:line="360" w:lineRule="auto"/>
      </w:pPr>
      <w:r>
        <w:t>乙方：</w:t>
      </w:r>
    </w:p>
    <w:p>
      <w:pPr>
        <w:widowControl/>
        <w:numPr>
          <w:ilvl w:val="1"/>
          <w:numId w:val="2"/>
        </w:numPr>
        <w:spacing w:line="360" w:lineRule="auto"/>
        <w:jc w:val="left"/>
        <w:rPr>
          <w:rFonts w:hint="eastAsia"/>
        </w:rPr>
      </w:pPr>
      <w:r>
        <w:t>乙方应严格遵循GCP要求及研究方案进行本次临床研究。</w:t>
      </w:r>
    </w:p>
    <w:p>
      <w:pPr>
        <w:widowControl/>
        <w:numPr>
          <w:ilvl w:val="1"/>
          <w:numId w:val="2"/>
        </w:numPr>
        <w:spacing w:line="360" w:lineRule="auto"/>
        <w:jc w:val="left"/>
        <w:rPr>
          <w:rFonts w:hint="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269240</wp:posOffset>
                </wp:positionV>
                <wp:extent cx="63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1.05pt;margin-top:21.2pt;height:0pt;width:0.05pt;z-index:251658240;mso-width-relative:page;mso-height-relative:page;" filled="f" coordsize="21600,21600" o:allowincell="f" o:gfxdata="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3kjRzVAAAACQEAAA8AAAAAAAAAAQAgAAAA&#10;IgAAAGRycy9kb3ducmV2LnhtbFBLAQIUABQAAAAIAIdO4kBltYCC1QEAAJIDAAAOAAAAAAAAAAEA&#10;IAAAACQBAABkcnMvZTJvRG9jLnhtbFBLBQYAAAAABgAGAFkBAABrBQAAAAA=&#10;">
                <v:path arrowok="t"/>
                <v:fill on="f" focussize="0,0"/>
                <v:stroke/>
                <v:imagedata o:title=""/>
                <o:lock v:ext="edit" grouping="f" rotation="f" text="f" aspectratio="f"/>
              </v:line>
            </w:pict>
          </mc:Fallback>
        </mc:AlternateContent>
      </w:r>
      <w:r>
        <w:t>乙方在合同规定的试验期限内完成共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  </w:t>
      </w:r>
      <w:r>
        <w:t>例有效病例的临床观察并提供填写完整的病例报告表</w:t>
      </w:r>
      <w:r>
        <w:rPr>
          <w:szCs w:val="21"/>
        </w:rPr>
        <w:t>（CRF）。</w:t>
      </w:r>
    </w:p>
    <w:p>
      <w:pPr>
        <w:widowControl/>
        <w:numPr>
          <w:ilvl w:val="1"/>
          <w:numId w:val="2"/>
        </w:numPr>
        <w:spacing w:line="360" w:lineRule="auto"/>
        <w:jc w:val="left"/>
        <w:rPr>
          <w:rFonts w:hint="eastAsia"/>
        </w:rPr>
      </w:pPr>
      <w:r>
        <w:t>试验进行中或结束后，乙方有责任向甲方监查员或</w:t>
      </w:r>
      <w:r>
        <w:rPr>
          <w:rFonts w:hint="eastAsia"/>
        </w:rPr>
        <w:t>稽查人</w:t>
      </w:r>
      <w:r>
        <w:t>员出示与本</w:t>
      </w:r>
      <w:r>
        <w:rPr>
          <w:rFonts w:hint="eastAsia"/>
        </w:rPr>
        <w:t>临床</w:t>
      </w:r>
      <w:r>
        <w:t>试验有关的全部临床研究资料</w:t>
      </w:r>
      <w:r>
        <w:rPr>
          <w:rFonts w:hint="eastAsia"/>
          <w:szCs w:val="21"/>
        </w:rPr>
        <w:t>（</w:t>
      </w:r>
      <w:r>
        <w:rPr>
          <w:szCs w:val="21"/>
        </w:rPr>
        <w:t>包括原始病例记录、CRF、化验报告及其它检查报告等</w:t>
      </w:r>
      <w:r>
        <w:rPr>
          <w:rFonts w:hint="eastAsia"/>
          <w:szCs w:val="21"/>
        </w:rPr>
        <w:t>）</w:t>
      </w:r>
      <w:r>
        <w:rPr>
          <w:szCs w:val="21"/>
        </w:rPr>
        <w:t>，</w:t>
      </w:r>
      <w:r>
        <w:t>以便完成对</w:t>
      </w:r>
      <w:r>
        <w:rPr>
          <w:rFonts w:hint="eastAsia"/>
        </w:rPr>
        <w:t>该</w:t>
      </w:r>
      <w:r>
        <w:t>试验的监查与审核</w:t>
      </w:r>
      <w:r>
        <w:rPr>
          <w:rFonts w:hint="eastAsia"/>
        </w:rPr>
        <w:t>。</w:t>
      </w:r>
    </w:p>
    <w:p>
      <w:pPr>
        <w:widowControl/>
        <w:numPr>
          <w:ilvl w:val="2"/>
          <w:numId w:val="2"/>
        </w:numPr>
        <w:spacing w:line="360" w:lineRule="auto"/>
        <w:jc w:val="left"/>
        <w:rPr>
          <w:rFonts w:hint="eastAsia"/>
        </w:rPr>
      </w:pPr>
      <w:r>
        <w:t>在临床研究过程中，若受试者发生与研究药物相关的不良反应或不良事件，乙方应对受试者进行积极的治疗</w:t>
      </w:r>
      <w:r>
        <w:rPr>
          <w:rFonts w:hint="eastAsia"/>
        </w:rPr>
        <w:t>。</w:t>
      </w:r>
    </w:p>
    <w:p>
      <w:pPr>
        <w:widowControl/>
        <w:numPr>
          <w:ilvl w:val="2"/>
          <w:numId w:val="2"/>
        </w:numPr>
        <w:spacing w:line="360" w:lineRule="auto"/>
        <w:jc w:val="left"/>
        <w:rPr>
          <w:rFonts w:hint="eastAsia"/>
        </w:rPr>
      </w:pPr>
      <w:r>
        <w:t>乙方在收到申办者数据处理</w:t>
      </w:r>
      <w:r>
        <w:rPr>
          <w:rFonts w:hint="eastAsia"/>
        </w:rPr>
        <w:t>单位</w:t>
      </w:r>
      <w:r>
        <w:t>对病例报告表的询问表后，应及时提供反馈信息，一般情况下不应超过一周</w:t>
      </w:r>
      <w:r>
        <w:rPr>
          <w:rFonts w:hint="eastAsia"/>
        </w:rPr>
        <w:t>。</w:t>
      </w:r>
    </w:p>
    <w:p>
      <w:pPr>
        <w:widowControl/>
        <w:numPr>
          <w:ilvl w:val="2"/>
          <w:numId w:val="2"/>
        </w:numPr>
        <w:spacing w:line="360" w:lineRule="auto"/>
        <w:jc w:val="left"/>
        <w:rPr>
          <w:rFonts w:hint="eastAsia"/>
        </w:rPr>
      </w:pPr>
      <w:r>
        <w:t>乙方在收到统计分析报告后，如无异议，应在3周内完成临床试验总结报告及分中心小结表</w:t>
      </w:r>
      <w:r>
        <w:rPr>
          <w:rFonts w:hint="eastAsia"/>
        </w:rPr>
        <w:t>。</w:t>
      </w:r>
    </w:p>
    <w:p>
      <w:pPr>
        <w:widowControl/>
        <w:numPr>
          <w:ilvl w:val="2"/>
          <w:numId w:val="2"/>
        </w:numPr>
        <w:spacing w:line="360" w:lineRule="auto"/>
        <w:jc w:val="left"/>
        <w:rPr>
          <w:rFonts w:hint="eastAsia"/>
        </w:rPr>
      </w:pPr>
      <w:r>
        <w:t>如有需要，</w:t>
      </w:r>
      <w:r>
        <w:rPr>
          <w:rFonts w:hint="eastAsia"/>
        </w:rPr>
        <w:t>乙方</w:t>
      </w:r>
      <w:r>
        <w:t>负责参加</w:t>
      </w:r>
      <w:r>
        <w:rPr>
          <w:rFonts w:hint="eastAsia"/>
        </w:rPr>
        <w:t>C</w:t>
      </w:r>
      <w:r>
        <w:t>FDA专家审评会</w:t>
      </w:r>
      <w:r>
        <w:rPr>
          <w:rFonts w:hint="eastAsia"/>
        </w:rPr>
        <w:t>，并</w:t>
      </w:r>
      <w:r>
        <w:t>按GCP要求保存试验相关资料</w:t>
      </w:r>
      <w:r>
        <w:rPr>
          <w:rFonts w:hint="eastAsia"/>
        </w:rPr>
        <w:t>。</w:t>
      </w:r>
    </w:p>
    <w:p>
      <w:pPr>
        <w:widowControl/>
        <w:numPr>
          <w:ilvl w:val="2"/>
          <w:numId w:val="2"/>
        </w:numPr>
        <w:spacing w:line="360" w:lineRule="auto"/>
        <w:jc w:val="left"/>
      </w:pPr>
      <w:r>
        <w:t>乙方</w:t>
      </w:r>
      <w:r>
        <w:rPr>
          <w:rFonts w:hint="eastAsia"/>
        </w:rPr>
        <w:t>应</w:t>
      </w:r>
      <w:r>
        <w:t>严格遵守保密协议</w:t>
      </w:r>
      <w:r>
        <w:rPr>
          <w:rFonts w:hint="eastAsia"/>
        </w:rPr>
        <w:t>；</w:t>
      </w:r>
      <w:r>
        <w:t>未经甲方正式书面同意，不得公开发表包含本临床试验信息的文章等。</w:t>
      </w:r>
    </w:p>
    <w:p>
      <w:pPr>
        <w:spacing w:line="360" w:lineRule="auto"/>
        <w:rPr>
          <w:b/>
        </w:rPr>
      </w:pPr>
    </w:p>
    <w:p>
      <w:pPr>
        <w:spacing w:line="360" w:lineRule="auto"/>
        <w:rPr>
          <w:b/>
        </w:rPr>
      </w:pPr>
      <w:r>
        <w:rPr>
          <w:b/>
        </w:rPr>
        <w:t>合同合作期限：</w:t>
      </w:r>
    </w:p>
    <w:p>
      <w:pPr>
        <w:widowControl/>
        <w:spacing w:line="360" w:lineRule="auto"/>
        <w:ind w:firstLine="420" w:firstLineChars="200"/>
        <w:jc w:val="left"/>
      </w:pPr>
      <w:r>
        <w:t xml:space="preserve">从  </w:t>
      </w:r>
      <w:r>
        <w:tab/>
      </w:r>
      <w:r>
        <w:rPr>
          <w:rFonts w:hint="eastAsia"/>
        </w:rPr>
        <w:t xml:space="preserve"> </w:t>
      </w:r>
      <w:r>
        <w:t xml:space="preserve">年  </w:t>
      </w:r>
      <w:r>
        <w:rPr>
          <w:rFonts w:hint="eastAsia"/>
        </w:rPr>
        <w:t xml:space="preserve">  </w:t>
      </w:r>
      <w:r>
        <w:t xml:space="preserve">月 </w:t>
      </w:r>
      <w:r>
        <w:rPr>
          <w:rFonts w:hint="eastAsia"/>
        </w:rPr>
        <w:t xml:space="preserve">   </w:t>
      </w:r>
      <w:r>
        <w:t xml:space="preserve">日至  </w:t>
      </w:r>
      <w:r>
        <w:tab/>
      </w:r>
      <w:r>
        <w:rPr>
          <w:rFonts w:hint="eastAsia"/>
        </w:rPr>
        <w:t xml:space="preserve"> </w:t>
      </w:r>
      <w:r>
        <w:t xml:space="preserve">年  </w:t>
      </w:r>
      <w:r>
        <w:rPr>
          <w:rFonts w:hint="eastAsia"/>
        </w:rPr>
        <w:t xml:space="preserve">  </w:t>
      </w:r>
      <w:r>
        <w:t xml:space="preserve">月 </w:t>
      </w:r>
      <w:r>
        <w:rPr>
          <w:rFonts w:hint="eastAsia"/>
        </w:rPr>
        <w:t xml:space="preserve">   </w:t>
      </w:r>
      <w:r>
        <w:t>日，共</w:t>
      </w:r>
      <w:r>
        <w:rPr>
          <w:u w:val="single"/>
        </w:rPr>
        <w:t xml:space="preserve">          </w:t>
      </w:r>
      <w:r>
        <w:t>月</w:t>
      </w:r>
      <w:r>
        <w:rPr>
          <w:rFonts w:hint="eastAsia"/>
        </w:rPr>
        <w:t>。</w:t>
      </w:r>
    </w:p>
    <w:p>
      <w:pPr>
        <w:spacing w:line="360" w:lineRule="auto"/>
        <w:ind w:left="315" w:leftChars="150"/>
        <w:rPr>
          <w:rFonts w:hint="eastAsia"/>
        </w:rPr>
      </w:pPr>
    </w:p>
    <w:p>
      <w:pPr>
        <w:spacing w:line="360" w:lineRule="auto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208280</wp:posOffset>
                </wp:positionV>
                <wp:extent cx="63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0.05pt;margin-top:16.4pt;height:0pt;width:0.05pt;z-index:251659264;mso-width-relative:page;mso-height-relative:page;" filled="f" coordsize="21600,21600" o:allowincell="f" o:gfxdata="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kWYHtQAAAAJAQAADwAAAAAAAAABACAAAAAi&#10;AAAAZHJzL2Rvd25yZXYueG1sUEsBAhQAFAAAAAgAh07iQMVX5p/VAQAAkgMAAA4AAAAAAAAAAQAg&#10;AAAAIwEAAGRycy9lMm9Eb2MueG1sUEsFBgAAAAAGAAYAWQEAAGoFAAAAAA==&#10;">
                <v:path arrowok="t"/>
                <v:fill on="f" focussize="0,0"/>
                <v:stroke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b/>
        </w:rPr>
        <w:t>财务协议</w:t>
      </w:r>
    </w:p>
    <w:p>
      <w:pPr>
        <w:numPr>
          <w:ilvl w:val="1"/>
          <w:numId w:val="3"/>
        </w:numPr>
        <w:autoSpaceDE w:val="0"/>
        <w:autoSpaceDN w:val="0"/>
        <w:adjustRightInd w:val="0"/>
        <w:snapToGrid w:val="0"/>
        <w:spacing w:line="336" w:lineRule="auto"/>
        <w:jc w:val="left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临床试验费用</w:t>
      </w:r>
      <w:r>
        <w:rPr>
          <w:rFonts w:hint="eastAsia" w:ascii="宋体" w:hAnsi="宋体"/>
          <w:szCs w:val="21"/>
        </w:rPr>
        <w:t>注：具体金额及收款比例时间以医院要求为准）</w:t>
      </w:r>
    </w:p>
    <w:p>
      <w:pPr>
        <w:autoSpaceDE w:val="0"/>
        <w:autoSpaceDN w:val="0"/>
        <w:adjustRightInd w:val="0"/>
        <w:snapToGrid w:val="0"/>
        <w:spacing w:line="336" w:lineRule="auto"/>
        <w:ind w:left="850" w:leftChars="405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本次研究乙方拟完成合格病例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例，共计人民币</w:t>
      </w:r>
      <w:r>
        <w:rPr>
          <w:rFonts w:hint="eastAsia" w:ascii="宋体" w:hAnsi="宋体"/>
          <w:szCs w:val="21"/>
          <w:u w:val="single"/>
        </w:rPr>
        <w:t>陆万元整（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Cs w:val="21"/>
          <w:u w:val="single"/>
        </w:rPr>
        <w:t>）</w:t>
      </w:r>
      <w:r>
        <w:rPr>
          <w:rFonts w:hint="eastAsia" w:ascii="宋体" w:hAnsi="宋体"/>
          <w:szCs w:val="21"/>
        </w:rPr>
        <w:t>。明细如下：</w:t>
      </w:r>
    </w:p>
    <w:p>
      <w:pPr>
        <w:widowControl/>
        <w:numPr>
          <w:ilvl w:val="0"/>
          <w:numId w:val="4"/>
        </w:numPr>
        <w:tabs>
          <w:tab w:val="left" w:pos="0"/>
          <w:tab w:val="left" w:pos="420"/>
        </w:tabs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研究团队</w:t>
      </w:r>
      <w:r>
        <w:rPr>
          <w:szCs w:val="21"/>
        </w:rPr>
        <w:t>的</w:t>
      </w:r>
      <w:r>
        <w:rPr>
          <w:rFonts w:hint="eastAsia"/>
          <w:szCs w:val="21"/>
        </w:rPr>
        <w:t>研究费</w:t>
      </w:r>
      <w:r>
        <w:rPr>
          <w:szCs w:val="21"/>
        </w:rPr>
        <w:t>：完成的合格病例，每例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 xml:space="preserve">      </w:t>
      </w:r>
      <w:r>
        <w:rPr>
          <w:szCs w:val="21"/>
          <w:u w:val="single"/>
        </w:rPr>
        <w:t xml:space="preserve"> </w:t>
      </w:r>
      <w:r>
        <w:rPr>
          <w:szCs w:val="21"/>
        </w:rPr>
        <w:t>元</w:t>
      </w:r>
      <w:r>
        <w:rPr>
          <w:rFonts w:hint="eastAsia"/>
          <w:szCs w:val="21"/>
        </w:rPr>
        <w:t>人民币</w:t>
      </w:r>
      <w:r>
        <w:rPr>
          <w:szCs w:val="21"/>
        </w:rPr>
        <w:t>。</w:t>
      </w:r>
    </w:p>
    <w:tbl>
      <w:tblPr>
        <w:tblStyle w:val="2"/>
        <w:tblW w:w="7449" w:type="dxa"/>
        <w:tblInd w:w="9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2248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</w:tblPrEx>
        <w:trPr>
          <w:trHeight w:val="70" w:hRule="atLeast"/>
        </w:trPr>
        <w:tc>
          <w:tcPr>
            <w:tcW w:w="2503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所完成访视</w:t>
            </w:r>
          </w:p>
        </w:tc>
        <w:tc>
          <w:tcPr>
            <w:tcW w:w="2248" w:type="dxa"/>
            <w:tcBorders>
              <w:bottom w:val="single" w:color="auto" w:sz="4" w:space="0"/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单次访视观察费</w:t>
            </w:r>
          </w:p>
        </w:tc>
        <w:tc>
          <w:tcPr>
            <w:tcW w:w="2698" w:type="dxa"/>
            <w:tcBorders>
              <w:left w:val="dotted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合计观察费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tcBorders>
              <w:top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1（筛选访视）</w:t>
            </w:r>
          </w:p>
        </w:tc>
        <w:tc>
          <w:tcPr>
            <w:tcW w:w="2248" w:type="dxa"/>
            <w:tcBorders>
              <w:top w:val="single" w:color="auto" w:sz="4" w:space="0"/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  <w:tc>
          <w:tcPr>
            <w:tcW w:w="2698" w:type="dxa"/>
            <w:tcBorders>
              <w:top w:val="single" w:color="auto" w:sz="4" w:space="0"/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2（基线访视）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3（治疗</w:t>
            </w:r>
            <w:r>
              <w:rPr>
                <w:rFonts w:hint="eastAsia" w:ascii="宋体" w:hAnsi="宋体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周访视）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4（治疗</w:t>
            </w:r>
            <w:r>
              <w:rPr>
                <w:rFonts w:hint="eastAsia" w:ascii="宋体" w:hAnsi="宋体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周访视）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......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......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</w:tr>
    </w:tbl>
    <w:p>
      <w:pPr>
        <w:tabs>
          <w:tab w:val="left" w:pos="540"/>
        </w:tabs>
        <w:spacing w:line="360" w:lineRule="auto"/>
        <w:rPr>
          <w:rFonts w:hint="eastAsia"/>
        </w:rPr>
      </w:pPr>
      <w:r>
        <w:rPr>
          <w:rFonts w:hint="eastAsia"/>
        </w:rPr>
        <w:t xml:space="preserve">    </w:t>
      </w:r>
    </w:p>
    <w:p>
      <w:pPr>
        <w:widowControl/>
        <w:numPr>
          <w:ilvl w:val="0"/>
          <w:numId w:val="4"/>
        </w:numPr>
        <w:tabs>
          <w:tab w:val="left" w:pos="0"/>
          <w:tab w:val="left" w:pos="420"/>
        </w:tabs>
        <w:spacing w:line="360" w:lineRule="auto"/>
        <w:jc w:val="left"/>
        <w:rPr>
          <w:rFonts w:hint="eastAsia"/>
        </w:rPr>
      </w:pPr>
      <w:r>
        <w:rPr>
          <w:rFonts w:hint="eastAsia"/>
          <w:szCs w:val="21"/>
        </w:rPr>
        <w:t>医技科室检查</w:t>
      </w:r>
      <w:r>
        <w:rPr>
          <w:szCs w:val="21"/>
        </w:rPr>
        <w:t>检验费</w:t>
      </w:r>
      <w:r>
        <w:t>：完成的合格病例，每例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u w:val="single"/>
        </w:rPr>
        <w:t xml:space="preserve"> </w:t>
      </w:r>
      <w:r>
        <w:t>元</w:t>
      </w:r>
      <w:r>
        <w:rPr>
          <w:rFonts w:hint="eastAsia"/>
        </w:rPr>
        <w:t>人民币</w:t>
      </w:r>
      <w:r>
        <w:t>。</w:t>
      </w:r>
    </w:p>
    <w:tbl>
      <w:tblPr>
        <w:tblStyle w:val="2"/>
        <w:tblW w:w="7449" w:type="dxa"/>
        <w:tblInd w:w="9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2248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503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所完成访视</w:t>
            </w:r>
          </w:p>
        </w:tc>
        <w:tc>
          <w:tcPr>
            <w:tcW w:w="2248" w:type="dxa"/>
            <w:tcBorders>
              <w:bottom w:val="single" w:color="auto" w:sz="4" w:space="0"/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单次检查</w:t>
            </w:r>
            <w:r>
              <w:rPr>
                <w:b/>
                <w:bCs/>
              </w:rPr>
              <w:t>费</w:t>
            </w:r>
          </w:p>
        </w:tc>
        <w:tc>
          <w:tcPr>
            <w:tcW w:w="2698" w:type="dxa"/>
            <w:tcBorders>
              <w:left w:val="dotted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合计</w:t>
            </w:r>
            <w:r>
              <w:rPr>
                <w:rFonts w:hint="eastAsia"/>
                <w:b/>
                <w:bCs/>
              </w:rPr>
              <w:t>检查</w:t>
            </w:r>
            <w:r>
              <w:rPr>
                <w:b/>
                <w:bCs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tcBorders>
              <w:top w:val="single" w:color="auto" w:sz="4" w:space="0"/>
            </w:tcBorders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1（筛选访视）</w:t>
            </w:r>
          </w:p>
        </w:tc>
        <w:tc>
          <w:tcPr>
            <w:tcW w:w="2248" w:type="dxa"/>
            <w:tcBorders>
              <w:top w:val="single" w:color="auto" w:sz="4" w:space="0"/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top w:val="single" w:color="auto" w:sz="4" w:space="0"/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2（基线访视）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3（治疗</w:t>
            </w:r>
            <w:r>
              <w:rPr>
                <w:rFonts w:hint="eastAsia" w:ascii="宋体" w:hAnsi="宋体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周访视）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ascii="宋体" w:hAnsi="宋体"/>
              </w:rPr>
              <w:t>4（治疗</w:t>
            </w:r>
            <w:r>
              <w:rPr>
                <w:rFonts w:hint="eastAsia" w:ascii="宋体" w:hAnsi="宋体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周访视）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。。。。。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noWrap w:val="0"/>
            <w:vAlign w:val="bottom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。。。。</w:t>
            </w:r>
          </w:p>
        </w:tc>
        <w:tc>
          <w:tcPr>
            <w:tcW w:w="2248" w:type="dxa"/>
            <w:tcBorders>
              <w:righ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  <w:tc>
          <w:tcPr>
            <w:tcW w:w="2698" w:type="dxa"/>
            <w:tcBorders>
              <w:left w:val="dotted" w:color="auto" w:sz="4" w:space="0"/>
            </w:tcBorders>
            <w:noWrap w:val="0"/>
            <w:vAlign w:val="bottom"/>
          </w:tcPr>
          <w:p>
            <w:pPr>
              <w:spacing w:line="360" w:lineRule="auto"/>
              <w:jc w:val="center"/>
            </w:pPr>
          </w:p>
        </w:tc>
      </w:tr>
    </w:tbl>
    <w:p>
      <w:pPr>
        <w:widowControl/>
        <w:tabs>
          <w:tab w:val="left" w:pos="0"/>
          <w:tab w:val="left" w:pos="420"/>
        </w:tabs>
        <w:spacing w:line="360" w:lineRule="auto"/>
        <w:jc w:val="left"/>
        <w:rPr>
          <w:rFonts w:hint="eastAsia"/>
        </w:rPr>
      </w:pPr>
    </w:p>
    <w:p>
      <w:pPr>
        <w:widowControl/>
        <w:numPr>
          <w:ilvl w:val="0"/>
          <w:numId w:val="4"/>
        </w:numPr>
        <w:tabs>
          <w:tab w:val="left" w:pos="0"/>
          <w:tab w:val="left" w:pos="420"/>
        </w:tabs>
        <w:spacing w:line="360" w:lineRule="auto"/>
        <w:jc w:val="left"/>
        <w:rPr>
          <w:rFonts w:hint="eastAsia"/>
        </w:rPr>
      </w:pPr>
      <w:r>
        <w:rPr>
          <w:rFonts w:hint="eastAsia"/>
        </w:rPr>
        <w:t>药品服务费：</w:t>
      </w:r>
      <w:r>
        <w:t>拟完成合格病例</w:t>
      </w:r>
      <w:r>
        <w:rPr>
          <w:rFonts w:hint="eastAsia" w:ascii="宋体" w:hAnsi="宋体"/>
          <w:u w:val="single"/>
        </w:rPr>
        <w:t xml:space="preserve">     </w:t>
      </w:r>
      <w:r>
        <w:t>例，</w:t>
      </w:r>
      <w:r>
        <w:rPr>
          <w:rFonts w:hint="eastAsia"/>
          <w:szCs w:val="21"/>
        </w:rPr>
        <w:t>共计</w:t>
      </w:r>
      <w:r>
        <w:rPr>
          <w:rFonts w:hint="eastAsia" w:ascii="宋体" w:hAnsi="宋体"/>
          <w:u w:val="single"/>
        </w:rPr>
        <w:t xml:space="preserve">     </w:t>
      </w:r>
      <w:r>
        <w:rPr>
          <w:szCs w:val="21"/>
        </w:rPr>
        <w:t>元</w:t>
      </w:r>
      <w:r>
        <w:rPr>
          <w:rFonts w:hint="eastAsia"/>
          <w:szCs w:val="21"/>
        </w:rPr>
        <w:t>。</w:t>
      </w:r>
    </w:p>
    <w:p>
      <w:pPr>
        <w:widowControl/>
        <w:numPr>
          <w:ilvl w:val="0"/>
          <w:numId w:val="4"/>
        </w:numPr>
        <w:tabs>
          <w:tab w:val="left" w:pos="0"/>
          <w:tab w:val="left" w:pos="420"/>
        </w:tabs>
        <w:spacing w:line="360" w:lineRule="auto"/>
        <w:jc w:val="left"/>
        <w:rPr>
          <w:rFonts w:hint="eastAsia"/>
        </w:rPr>
      </w:pPr>
      <w:r>
        <w:t>医院管理费，拟完成合格病例</w:t>
      </w:r>
      <w:r>
        <w:rPr>
          <w:rFonts w:hint="eastAsia" w:ascii="宋体" w:hAnsi="宋体"/>
          <w:u w:val="single"/>
        </w:rPr>
        <w:t xml:space="preserve">     </w:t>
      </w:r>
      <w:r>
        <w:t>例，共计</w:t>
      </w:r>
      <w:r>
        <w:rPr>
          <w:rFonts w:hint="eastAsia" w:ascii="宋体" w:hAnsi="宋体"/>
          <w:u w:val="single"/>
        </w:rPr>
        <w:t xml:space="preserve">     </w:t>
      </w:r>
      <w:r>
        <w:t>元。</w:t>
      </w:r>
    </w:p>
    <w:p>
      <w:pPr>
        <w:widowControl/>
        <w:numPr>
          <w:ilvl w:val="0"/>
          <w:numId w:val="4"/>
        </w:numPr>
        <w:tabs>
          <w:tab w:val="left" w:pos="0"/>
          <w:tab w:val="left" w:pos="420"/>
        </w:tabs>
        <w:spacing w:line="360" w:lineRule="auto"/>
        <w:jc w:val="left"/>
        <w:rPr>
          <w:rFonts w:hint="eastAsia"/>
        </w:rPr>
      </w:pPr>
      <w:r>
        <w:t>质量控制费，拟完成合格病例</w:t>
      </w:r>
      <w:r>
        <w:rPr>
          <w:rFonts w:hint="eastAsia" w:ascii="宋体" w:hAnsi="宋体"/>
          <w:u w:val="single"/>
        </w:rPr>
        <w:t xml:space="preserve">     </w:t>
      </w:r>
      <w:r>
        <w:t>例，共计</w:t>
      </w:r>
      <w:r>
        <w:rPr>
          <w:rFonts w:hint="eastAsia" w:ascii="宋体" w:hAnsi="宋体"/>
          <w:u w:val="single"/>
        </w:rPr>
        <w:t xml:space="preserve">     </w:t>
      </w:r>
      <w:r>
        <w:t>元。</w:t>
      </w:r>
    </w:p>
    <w:p>
      <w:pPr>
        <w:widowControl/>
        <w:numPr>
          <w:ilvl w:val="0"/>
          <w:numId w:val="4"/>
        </w:numPr>
        <w:tabs>
          <w:tab w:val="left" w:pos="0"/>
          <w:tab w:val="left" w:pos="420"/>
        </w:tabs>
        <w:spacing w:line="360" w:lineRule="auto"/>
        <w:jc w:val="left"/>
        <w:rPr>
          <w:rFonts w:hint="eastAsia"/>
        </w:rPr>
      </w:pPr>
      <w:r>
        <w:t>税费：甲方将在总费用的基础上，同时支付乙方开据发票的税费（按照总费用的3%额外支付），共计</w:t>
      </w:r>
      <w:r>
        <w:rPr>
          <w:rFonts w:hint="eastAsia" w:ascii="宋体" w:hAnsi="宋体"/>
          <w:u w:val="single"/>
        </w:rPr>
        <w:t xml:space="preserve">     </w:t>
      </w:r>
      <w:r>
        <w:t>元。</w:t>
      </w:r>
    </w:p>
    <w:p>
      <w:pPr>
        <w:numPr>
          <w:ilvl w:val="1"/>
          <w:numId w:val="3"/>
        </w:numPr>
        <w:autoSpaceDE w:val="0"/>
        <w:autoSpaceDN w:val="0"/>
        <w:adjustRightInd w:val="0"/>
        <w:snapToGrid w:val="0"/>
        <w:spacing w:line="336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支付方式及</w:t>
      </w:r>
      <w:r>
        <w:rPr>
          <w:szCs w:val="21"/>
        </w:rPr>
        <w:t>付款比例（单位：元人民币）：（合格病例是指受试者符合试验的入选标准，并按照试验方案完成整体观察的病例</w:t>
      </w:r>
      <w:r>
        <w:rPr>
          <w:rFonts w:hint="eastAsia"/>
          <w:szCs w:val="21"/>
        </w:rPr>
        <w:t>。</w:t>
      </w:r>
      <w:r>
        <w:rPr>
          <w:szCs w:val="21"/>
        </w:rPr>
        <w:t>未按照方案完成观察的病例按照实际随访次数及相应的检查费支付）</w:t>
      </w:r>
      <w:r>
        <w:t xml:space="preserve"> </w:t>
      </w:r>
    </w:p>
    <w:tbl>
      <w:tblPr>
        <w:tblStyle w:val="2"/>
        <w:tblW w:w="7965" w:type="dxa"/>
        <w:tblInd w:w="8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836"/>
        <w:gridCol w:w="5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2" w:hRule="atLeast"/>
        </w:trPr>
        <w:tc>
          <w:tcPr>
            <w:tcW w:w="28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付款占总额的比例</w:t>
            </w:r>
          </w:p>
        </w:tc>
        <w:tc>
          <w:tcPr>
            <w:tcW w:w="5129" w:type="dxa"/>
            <w:noWrap w:val="0"/>
            <w:vAlign w:val="top"/>
          </w:tcPr>
          <w:p>
            <w:pPr>
              <w:spacing w:line="360" w:lineRule="auto"/>
              <w:ind w:firstLine="60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付款时间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2" w:hRule="atLeast"/>
        </w:trPr>
        <w:tc>
          <w:tcPr>
            <w:tcW w:w="2836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t xml:space="preserve">50%，即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</w:t>
            </w:r>
            <w:r>
              <w:t>元</w:t>
            </w:r>
          </w:p>
        </w:tc>
        <w:tc>
          <w:tcPr>
            <w:tcW w:w="5129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试验开始前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2" w:hRule="atLeast"/>
        </w:trPr>
        <w:tc>
          <w:tcPr>
            <w:tcW w:w="2836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t xml:space="preserve">0%，即 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</w:t>
            </w:r>
            <w:r>
              <w:t>元</w:t>
            </w:r>
          </w:p>
        </w:tc>
        <w:tc>
          <w:tcPr>
            <w:tcW w:w="5129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受试者入组观察结束，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申办者取得相关资料时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2" w:hRule="atLeast"/>
        </w:trPr>
        <w:tc>
          <w:tcPr>
            <w:tcW w:w="28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2</w:t>
            </w:r>
            <w:r>
              <w:t>0%</w:t>
            </w:r>
            <w:r>
              <w:rPr>
                <w:rFonts w:hint="eastAsia"/>
              </w:rPr>
              <w:t>，</w:t>
            </w:r>
            <w:r>
              <w:t>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元</w:t>
            </w:r>
          </w:p>
        </w:tc>
        <w:tc>
          <w:tcPr>
            <w:tcW w:w="5129" w:type="dxa"/>
            <w:noWrap w:val="0"/>
            <w:vAlign w:val="top"/>
          </w:tcPr>
          <w:p>
            <w:pPr>
              <w:spacing w:line="360" w:lineRule="auto"/>
            </w:pPr>
            <w:r>
              <w:t>研究结束</w:t>
            </w:r>
            <w:r>
              <w:rPr>
                <w:rFonts w:hint="eastAsia"/>
              </w:rPr>
              <w:t>，本中心盖章时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62" w:hRule="atLeast"/>
        </w:trPr>
        <w:tc>
          <w:tcPr>
            <w:tcW w:w="7965" w:type="dxa"/>
            <w:gridSpan w:val="2"/>
            <w:noWrap w:val="0"/>
            <w:vAlign w:val="top"/>
          </w:tcPr>
          <w:p>
            <w:pPr>
              <w:spacing w:line="360" w:lineRule="auto"/>
              <w:ind w:firstLine="315" w:firstLineChars="150"/>
            </w:pPr>
            <w:r>
              <w:rPr>
                <w:rFonts w:hint="eastAsia"/>
              </w:rPr>
              <w:t>注：</w:t>
            </w:r>
            <w:r>
              <w:t>末期付款时按照实际完成病例数结算。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56" w:beforeLines="50" w:line="360" w:lineRule="auto"/>
        <w:ind w:left="851"/>
        <w:jc w:val="left"/>
        <w:rPr>
          <w:rFonts w:hint="eastAsia"/>
          <w:b/>
        </w:rPr>
      </w:pPr>
    </w:p>
    <w:p>
      <w:pPr>
        <w:numPr>
          <w:ilvl w:val="1"/>
          <w:numId w:val="3"/>
        </w:num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/>
          <w:b/>
        </w:rPr>
      </w:pPr>
      <w:r>
        <w:rPr>
          <w:rFonts w:hint="eastAsia" w:ascii="宋体" w:hAnsi="宋体"/>
          <w:szCs w:val="21"/>
        </w:rPr>
        <w:t>费用支付账户</w:t>
      </w:r>
    </w:p>
    <w:tbl>
      <w:tblPr>
        <w:tblStyle w:val="2"/>
        <w:tblW w:w="8152" w:type="dxa"/>
        <w:tblInd w:w="8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6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" w:type="dxa"/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开户行：</w:t>
            </w:r>
          </w:p>
        </w:tc>
        <w:tc>
          <w:tcPr>
            <w:tcW w:w="6767" w:type="dxa"/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" w:type="dxa"/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帐</w:t>
            </w:r>
            <w:r>
              <w:rPr>
                <w:rFonts w:hint="eastAsia" w:ascii="黑体" w:hAnsi="黑体" w:eastAsia="黑体"/>
                <w:szCs w:val="21"/>
              </w:rPr>
              <w:t xml:space="preserve">  </w:t>
            </w:r>
            <w:r>
              <w:rPr>
                <w:rFonts w:ascii="黑体" w:hAnsi="黑体" w:eastAsia="黑体"/>
                <w:szCs w:val="21"/>
              </w:rPr>
              <w:t>号：</w:t>
            </w:r>
          </w:p>
        </w:tc>
        <w:tc>
          <w:tcPr>
            <w:tcW w:w="6767" w:type="dxa"/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" w:type="dxa"/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开户名称：</w:t>
            </w:r>
          </w:p>
        </w:tc>
        <w:tc>
          <w:tcPr>
            <w:tcW w:w="6767" w:type="dxa"/>
            <w:noWrap w:val="0"/>
            <w:vAlign w:val="top"/>
          </w:tcPr>
          <w:p>
            <w:pPr>
              <w:spacing w:line="360" w:lineRule="auto"/>
              <w:rPr>
                <w:rFonts w:hint="eastAsia" w:ascii="黑体" w:hAnsi="黑体" w:eastAsia="黑体"/>
                <w:szCs w:val="21"/>
              </w:rPr>
            </w:pPr>
          </w:p>
        </w:tc>
      </w:tr>
    </w:tbl>
    <w:p>
      <w:pPr>
        <w:tabs>
          <w:tab w:val="left" w:pos="851"/>
        </w:tabs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b/>
        </w:rPr>
      </w:pPr>
    </w:p>
    <w:p>
      <w:pPr>
        <w:spacing w:line="360" w:lineRule="auto"/>
        <w:rPr>
          <w:b/>
        </w:rPr>
      </w:pPr>
      <w:r>
        <w:rPr>
          <w:b/>
        </w:rPr>
        <w:t>成果的归属与分享：</w:t>
      </w:r>
    </w:p>
    <w:p>
      <w:pPr>
        <w:widowControl/>
        <w:numPr>
          <w:ilvl w:val="0"/>
          <w:numId w:val="5"/>
        </w:numPr>
        <w:tabs>
          <w:tab w:val="left" w:pos="360"/>
          <w:tab w:val="left" w:pos="3060"/>
          <w:tab w:val="clear" w:pos="840"/>
        </w:tabs>
        <w:spacing w:line="360" w:lineRule="auto"/>
        <w:ind w:left="0" w:firstLine="0"/>
        <w:jc w:val="left"/>
      </w:pPr>
      <w:r>
        <w:rPr>
          <w:rFonts w:hint="eastAsia"/>
        </w:rPr>
        <w:t>临床</w:t>
      </w:r>
      <w:r>
        <w:t>试验报告及报告内所包含的试验资料和数据按研究方案的规定办理；</w:t>
      </w:r>
    </w:p>
    <w:p>
      <w:pPr>
        <w:widowControl/>
        <w:numPr>
          <w:ilvl w:val="0"/>
          <w:numId w:val="5"/>
        </w:numPr>
        <w:tabs>
          <w:tab w:val="left" w:pos="360"/>
          <w:tab w:val="left" w:pos="3060"/>
          <w:tab w:val="clear" w:pos="840"/>
        </w:tabs>
        <w:spacing w:line="360" w:lineRule="auto"/>
        <w:ind w:left="0" w:firstLine="0"/>
        <w:jc w:val="left"/>
        <w:rPr>
          <w:rFonts w:hint="eastAsia"/>
        </w:rPr>
      </w:pPr>
      <w:r>
        <w:t>乙方</w:t>
      </w:r>
      <w:r>
        <w:rPr>
          <w:rFonts w:hint="eastAsia"/>
        </w:rPr>
        <w:t>若欲</w:t>
      </w:r>
      <w:r>
        <w:t>将</w:t>
      </w:r>
      <w:r>
        <w:rPr>
          <w:rFonts w:hint="eastAsia"/>
        </w:rPr>
        <w:t>临床</w:t>
      </w:r>
      <w:r>
        <w:t>试验结果用于科研会议或发表，需事先得到甲方的许可。</w:t>
      </w:r>
    </w:p>
    <w:p>
      <w:pPr>
        <w:widowControl/>
        <w:tabs>
          <w:tab w:val="left" w:pos="360"/>
        </w:tabs>
        <w:spacing w:line="360" w:lineRule="auto"/>
        <w:jc w:val="left"/>
      </w:pPr>
      <w:bookmarkStart w:id="0" w:name="_GoBack"/>
      <w:bookmarkEnd w:id="0"/>
    </w:p>
    <w:p>
      <w:pPr>
        <w:spacing w:line="360" w:lineRule="auto"/>
        <w:rPr>
          <w:b/>
          <w:bCs/>
        </w:rPr>
      </w:pPr>
      <w:r>
        <w:rPr>
          <w:b/>
          <w:bCs/>
        </w:rPr>
        <w:t>违约责任</w:t>
      </w:r>
    </w:p>
    <w:p>
      <w:pPr>
        <w:tabs>
          <w:tab w:val="left" w:pos="360"/>
        </w:tabs>
        <w:spacing w:line="360" w:lineRule="auto"/>
        <w:ind w:firstLine="359" w:firstLineChars="171"/>
      </w:pPr>
      <w:r>
        <w:t>双方应严格履行合同的约定，因一方违约给他方造成损失应承担赔偿责任。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其他：</w:t>
      </w:r>
    </w:p>
    <w:p>
      <w:pPr>
        <w:widowControl/>
        <w:numPr>
          <w:ilvl w:val="0"/>
          <w:numId w:val="6"/>
        </w:numPr>
        <w:tabs>
          <w:tab w:val="left" w:pos="0"/>
          <w:tab w:val="clear" w:pos="1260"/>
        </w:tabs>
        <w:spacing w:line="360" w:lineRule="auto"/>
        <w:ind w:left="0" w:firstLine="0"/>
        <w:jc w:val="left"/>
        <w:rPr>
          <w:rFonts w:hint="eastAsia"/>
        </w:rPr>
      </w:pPr>
      <w:r>
        <w:t>如因甲方原因提前终止</w:t>
      </w:r>
      <w:r>
        <w:rPr>
          <w:rFonts w:hint="eastAsia"/>
        </w:rPr>
        <w:t>临床</w:t>
      </w:r>
      <w:r>
        <w:t>试验，所付款额按终止时已入选的病例数决定；如</w:t>
      </w:r>
      <w:r>
        <w:rPr>
          <w:rFonts w:hint="eastAsia"/>
        </w:rPr>
        <w:t>因</w:t>
      </w:r>
      <w:r>
        <w:t>乙方原因提前终止</w:t>
      </w:r>
      <w:r>
        <w:rPr>
          <w:rFonts w:hint="eastAsia"/>
        </w:rPr>
        <w:t>临床</w:t>
      </w:r>
      <w:r>
        <w:t>试验，所付款项金额</w:t>
      </w:r>
      <w:r>
        <w:rPr>
          <w:rFonts w:hint="eastAsia"/>
        </w:rPr>
        <w:t>由</w:t>
      </w:r>
      <w:r>
        <w:t>双方协商解决。</w:t>
      </w:r>
    </w:p>
    <w:p>
      <w:pPr>
        <w:widowControl/>
        <w:numPr>
          <w:ilvl w:val="0"/>
          <w:numId w:val="6"/>
        </w:numPr>
        <w:tabs>
          <w:tab w:val="clear" w:pos="1260"/>
        </w:tabs>
        <w:spacing w:line="360" w:lineRule="auto"/>
        <w:ind w:left="0" w:firstLine="0"/>
        <w:jc w:val="left"/>
        <w:rPr>
          <w:rFonts w:hint="eastAsia"/>
          <w:szCs w:val="21"/>
        </w:rPr>
      </w:pPr>
      <w:r>
        <w:t>本协议</w:t>
      </w:r>
      <w:r>
        <w:rPr>
          <w:szCs w:val="21"/>
        </w:rPr>
        <w:t>未尽事宜，由甲</w:t>
      </w:r>
      <w:r>
        <w:rPr>
          <w:rFonts w:hint="eastAsia"/>
          <w:szCs w:val="21"/>
        </w:rPr>
        <w:t>、</w:t>
      </w:r>
      <w:r>
        <w:rPr>
          <w:szCs w:val="21"/>
        </w:rPr>
        <w:t>乙双方</w:t>
      </w:r>
      <w:r>
        <w:rPr>
          <w:rFonts w:hint="eastAsia"/>
          <w:szCs w:val="21"/>
        </w:rPr>
        <w:t>友好</w:t>
      </w:r>
      <w:r>
        <w:rPr>
          <w:szCs w:val="21"/>
        </w:rPr>
        <w:t>协商</w:t>
      </w:r>
      <w:r>
        <w:rPr>
          <w:rFonts w:hint="eastAsia"/>
          <w:szCs w:val="21"/>
        </w:rPr>
        <w:t>妥善</w:t>
      </w:r>
      <w:r>
        <w:rPr>
          <w:szCs w:val="21"/>
        </w:rPr>
        <w:t>解决。本协议有争执时，经协商仍不能达成一致意见的，应提交</w:t>
      </w:r>
      <w:r>
        <w:rPr>
          <w:rFonts w:hint="eastAsia"/>
          <w:szCs w:val="21"/>
        </w:rPr>
        <w:t>仲裁机构</w:t>
      </w:r>
      <w:r>
        <w:rPr>
          <w:szCs w:val="21"/>
        </w:rPr>
        <w:t>仲裁</w:t>
      </w:r>
      <w:r>
        <w:rPr>
          <w:rFonts w:hint="eastAsia"/>
          <w:szCs w:val="21"/>
        </w:rPr>
        <w:t>；</w:t>
      </w:r>
      <w:r>
        <w:rPr>
          <w:szCs w:val="21"/>
        </w:rPr>
        <w:t>双方对仲裁机构不能达成一致意见的，可选择第三地仲裁机构，或者</w:t>
      </w:r>
      <w:r>
        <w:rPr>
          <w:rFonts w:hint="eastAsia"/>
          <w:szCs w:val="21"/>
        </w:rPr>
        <w:t>通过</w:t>
      </w:r>
      <w:r>
        <w:rPr>
          <w:szCs w:val="21"/>
        </w:rPr>
        <w:t>中华人民共和国法律解决。</w:t>
      </w:r>
    </w:p>
    <w:p>
      <w:pPr>
        <w:widowControl/>
        <w:numPr>
          <w:ilvl w:val="0"/>
          <w:numId w:val="6"/>
        </w:numPr>
        <w:tabs>
          <w:tab w:val="left" w:pos="0"/>
          <w:tab w:val="clear" w:pos="1260"/>
        </w:tabs>
        <w:spacing w:line="360" w:lineRule="auto"/>
        <w:ind w:left="0" w:firstLine="0"/>
        <w:jc w:val="left"/>
        <w:rPr>
          <w:rFonts w:hint="eastAsia"/>
        </w:rPr>
      </w:pPr>
      <w:r>
        <w:t>本协议一式</w:t>
      </w:r>
      <w:r>
        <w:rPr>
          <w:rFonts w:hint="eastAsia"/>
        </w:rPr>
        <w:t>肆</w:t>
      </w:r>
      <w:r>
        <w:t>份，甲、乙双方签字后各执</w:t>
      </w:r>
      <w:r>
        <w:rPr>
          <w:rFonts w:hint="eastAsia"/>
        </w:rPr>
        <w:t>贰</w:t>
      </w:r>
      <w:r>
        <w:t>份。</w:t>
      </w:r>
    </w:p>
    <w:p>
      <w:pPr>
        <w:widowControl/>
        <w:numPr>
          <w:ilvl w:val="0"/>
          <w:numId w:val="6"/>
        </w:numPr>
        <w:tabs>
          <w:tab w:val="left" w:pos="0"/>
          <w:tab w:val="clear" w:pos="1260"/>
        </w:tabs>
        <w:spacing w:line="360" w:lineRule="auto"/>
        <w:ind w:left="0" w:firstLine="0"/>
        <w:jc w:val="left"/>
      </w:pPr>
      <w:r>
        <w:t>本协议自双方签署之日起生效。</w:t>
      </w:r>
    </w:p>
    <w:p>
      <w:pPr>
        <w:spacing w:line="360" w:lineRule="auto"/>
        <w:rPr>
          <w:rFonts w:hint="eastAsia" w:ascii="黑体" w:hAnsi="黑体" w:eastAsia="黑体"/>
          <w:kern w:val="0"/>
          <w:sz w:val="28"/>
        </w:rPr>
      </w:pPr>
      <w:r>
        <w:tab/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 w:ascii="黑体" w:hAnsi="黑体" w:eastAsia="黑体"/>
          <w:sz w:val="28"/>
        </w:rPr>
        <w:t>签名页</w:t>
      </w:r>
    </w:p>
    <w:tbl>
      <w:tblPr>
        <w:tblStyle w:val="2"/>
        <w:tblW w:w="90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4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2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甲方(盖章)：XXXX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法定代表人/委托代理人签字：</w:t>
            </w:r>
          </w:p>
        </w:tc>
        <w:tc>
          <w:tcPr>
            <w:tcW w:w="5492" w:type="dxa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签名日期：</w:t>
            </w:r>
          </w:p>
        </w:tc>
        <w:tc>
          <w:tcPr>
            <w:tcW w:w="5492" w:type="dxa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年    月</w:t>
            </w:r>
            <w:r>
              <w:rPr>
                <w:rFonts w:ascii="黑体" w:hAnsi="黑体" w:eastAsia="黑体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</w:rPr>
              <w:t xml:space="preserve">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492" w:type="dxa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2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乙方(盖章)：</w:t>
            </w:r>
            <w:r>
              <w:rPr>
                <w:rFonts w:hint="eastAsia" w:ascii="黑体" w:hAnsi="黑体" w:eastAsia="黑体"/>
                <w:kern w:val="0"/>
                <w:sz w:val="24"/>
              </w:rPr>
              <w:t>XXXX医院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专业组负责人签名：</w:t>
            </w:r>
          </w:p>
        </w:tc>
        <w:tc>
          <w:tcPr>
            <w:tcW w:w="5492" w:type="dxa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签名日期：</w:t>
            </w:r>
          </w:p>
        </w:tc>
        <w:tc>
          <w:tcPr>
            <w:tcW w:w="5492" w:type="dxa"/>
            <w:noWrap w:val="0"/>
            <w:vAlign w:val="center"/>
          </w:tcPr>
          <w:p>
            <w:pPr>
              <w:spacing w:before="156" w:beforeLines="50" w:line="360" w:lineRule="auto"/>
              <w:ind w:firstLine="600" w:firstLineChars="25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    月</w:t>
            </w:r>
            <w:r>
              <w:rPr>
                <w:rFonts w:ascii="黑体" w:hAnsi="黑体" w:eastAsia="黑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sz w:val="24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jc w:val="right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5492" w:type="dxa"/>
            <w:noWrap w:val="0"/>
            <w:vAlign w:val="center"/>
          </w:tcPr>
          <w:p>
            <w:pPr>
              <w:spacing w:before="156" w:beforeLines="50" w:line="360" w:lineRule="auto"/>
              <w:ind w:firstLine="600" w:firstLineChars="250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法定代表人/委托代理人签字：</w:t>
            </w:r>
          </w:p>
        </w:tc>
        <w:tc>
          <w:tcPr>
            <w:tcW w:w="5492" w:type="dxa"/>
            <w:noWrap w:val="0"/>
            <w:vAlign w:val="center"/>
          </w:tcPr>
          <w:p>
            <w:pPr>
              <w:spacing w:before="156" w:beforeLines="50" w:line="360" w:lineRule="auto"/>
              <w:rPr>
                <w:rFonts w:hint="eastAsia" w:ascii="黑体" w:hAnsi="黑体" w:eastAsia="黑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noWrap w:val="0"/>
            <w:vAlign w:val="top"/>
          </w:tcPr>
          <w:p>
            <w:pPr>
              <w:spacing w:before="156" w:beforeLines="50" w:line="360" w:lineRule="auto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签名日期：</w:t>
            </w:r>
          </w:p>
        </w:tc>
        <w:tc>
          <w:tcPr>
            <w:tcW w:w="5492" w:type="dxa"/>
            <w:noWrap w:val="0"/>
            <w:vAlign w:val="center"/>
          </w:tcPr>
          <w:p>
            <w:pPr>
              <w:spacing w:before="156" w:beforeLines="50" w:line="360" w:lineRule="auto"/>
              <w:ind w:firstLine="600" w:firstLineChars="25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    月</w:t>
            </w:r>
            <w:r>
              <w:rPr>
                <w:rFonts w:ascii="黑体" w:hAnsi="黑体" w:eastAsia="黑体"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sz w:val="24"/>
              </w:rPr>
              <w:t xml:space="preserve">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"/>
      <w:lvlJc w:val="left"/>
      <w:pPr>
        <w:tabs>
          <w:tab w:val="left" w:pos="851"/>
        </w:tabs>
        <w:ind w:left="851" w:hanging="431"/>
      </w:pPr>
      <w:rPr>
        <w:rFonts w:hint="eastAsia" w:ascii="宋体" w:hAnsi="宋体" w:eastAsia="宋体"/>
        <w:b w:val="0"/>
        <w:color w:val="auto"/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  <w:b w:val="0"/>
        <w:color w:val="auto"/>
        <w:sz w:val="24"/>
        <w:szCs w:val="24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9"/>
    <w:multiLevelType w:val="multilevel"/>
    <w:tmpl w:val="00000009"/>
    <w:lvl w:ilvl="0" w:tentative="0">
      <w:start w:val="1"/>
      <w:numFmt w:val="decimal"/>
      <w:lvlText w:val="%1"/>
      <w:lvlJc w:val="left"/>
      <w:pPr>
        <w:tabs>
          <w:tab w:val="left" w:pos="840"/>
        </w:tabs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1260"/>
        </w:tabs>
        <w:ind w:left="1260" w:hanging="420"/>
      </w:pPr>
      <w:rPr>
        <w:rFonts w:hint="eastAsia" w:ascii="宋体" w:hAnsi="宋体" w:eastAsia="宋体"/>
        <w:color w:val="auto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0D"/>
    <w:multiLevelType w:val="multilevel"/>
    <w:tmpl w:val="0000000D"/>
    <w:lvl w:ilvl="0" w:tentative="0">
      <w:start w:val="1"/>
      <w:numFmt w:val="decimal"/>
      <w:lvlText w:val="%1"/>
      <w:lvlJc w:val="left"/>
      <w:pPr>
        <w:tabs>
          <w:tab w:val="left" w:pos="851"/>
        </w:tabs>
        <w:ind w:left="851" w:hanging="431"/>
      </w:pPr>
      <w:rPr>
        <w:rFonts w:hint="eastAsia"/>
        <w:b w:val="0"/>
        <w:color w:val="auto"/>
        <w:sz w:val="24"/>
        <w:szCs w:val="24"/>
      </w:rPr>
    </w:lvl>
    <w:lvl w:ilvl="1" w:tentative="0">
      <w:start w:val="1"/>
      <w:numFmt w:val="decimal"/>
      <w:lvlText w:val="%2"/>
      <w:lvlJc w:val="left"/>
      <w:pPr>
        <w:tabs>
          <w:tab w:val="left" w:pos="851"/>
        </w:tabs>
        <w:ind w:left="851" w:hanging="431"/>
      </w:pPr>
      <w:rPr>
        <w:rFonts w:hint="eastAsia" w:ascii="宋体" w:hAnsi="宋体" w:eastAsia="宋体"/>
        <w:b w:val="0"/>
        <w:color w:val="auto"/>
        <w:sz w:val="24"/>
        <w:szCs w:val="24"/>
      </w:rPr>
    </w:lvl>
    <w:lvl w:ilvl="2" w:tentative="0">
      <w:start w:val="4"/>
      <w:numFmt w:val="decimal"/>
      <w:lvlText w:val="%3"/>
      <w:lvlJc w:val="left"/>
      <w:pPr>
        <w:tabs>
          <w:tab w:val="left" w:pos="851"/>
        </w:tabs>
        <w:ind w:left="851" w:hanging="431"/>
      </w:pPr>
      <w:rPr>
        <w:rFonts w:hint="eastAsia" w:ascii="宋体" w:hAnsi="宋体" w:eastAsia="宋体"/>
        <w:b w:val="0"/>
        <w:color w:val="auto"/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A29683F"/>
    <w:multiLevelType w:val="multilevel"/>
    <w:tmpl w:val="3A29683F"/>
    <w:lvl w:ilvl="0" w:tentative="0">
      <w:start w:val="1"/>
      <w:numFmt w:val="decimal"/>
      <w:lvlText w:val="%1)"/>
      <w:lvlJc w:val="left"/>
      <w:pPr>
        <w:ind w:left="1271" w:hanging="420"/>
      </w:pPr>
    </w:lvl>
    <w:lvl w:ilvl="1" w:tentative="0">
      <w:start w:val="1"/>
      <w:numFmt w:val="lowerLetter"/>
      <w:lvlText w:val="%2)"/>
      <w:lvlJc w:val="left"/>
      <w:pPr>
        <w:ind w:left="1691" w:hanging="420"/>
      </w:pPr>
    </w:lvl>
    <w:lvl w:ilvl="2" w:tentative="0">
      <w:start w:val="1"/>
      <w:numFmt w:val="lowerRoman"/>
      <w:lvlText w:val="%3."/>
      <w:lvlJc w:val="right"/>
      <w:pPr>
        <w:ind w:left="2111" w:hanging="420"/>
      </w:pPr>
    </w:lvl>
    <w:lvl w:ilvl="3" w:tentative="0">
      <w:start w:val="1"/>
      <w:numFmt w:val="decimal"/>
      <w:lvlText w:val="%4."/>
      <w:lvlJc w:val="left"/>
      <w:pPr>
        <w:ind w:left="2531" w:hanging="420"/>
      </w:pPr>
    </w:lvl>
    <w:lvl w:ilvl="4" w:tentative="0">
      <w:start w:val="1"/>
      <w:numFmt w:val="lowerLetter"/>
      <w:lvlText w:val="%5)"/>
      <w:lvlJc w:val="left"/>
      <w:pPr>
        <w:ind w:left="2951" w:hanging="420"/>
      </w:pPr>
    </w:lvl>
    <w:lvl w:ilvl="5" w:tentative="0">
      <w:start w:val="1"/>
      <w:numFmt w:val="lowerRoman"/>
      <w:lvlText w:val="%6."/>
      <w:lvlJc w:val="right"/>
      <w:pPr>
        <w:ind w:left="3371" w:hanging="420"/>
      </w:pPr>
    </w:lvl>
    <w:lvl w:ilvl="6" w:tentative="0">
      <w:start w:val="1"/>
      <w:numFmt w:val="decimal"/>
      <w:lvlText w:val="%7."/>
      <w:lvlJc w:val="left"/>
      <w:pPr>
        <w:ind w:left="3791" w:hanging="420"/>
      </w:pPr>
    </w:lvl>
    <w:lvl w:ilvl="7" w:tentative="0">
      <w:start w:val="1"/>
      <w:numFmt w:val="lowerLetter"/>
      <w:lvlText w:val="%8)"/>
      <w:lvlJc w:val="left"/>
      <w:pPr>
        <w:ind w:left="4211" w:hanging="420"/>
      </w:pPr>
    </w:lvl>
    <w:lvl w:ilvl="8" w:tentative="0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4C436087"/>
    <w:multiLevelType w:val="multilevel"/>
    <w:tmpl w:val="4C436087"/>
    <w:lvl w:ilvl="0" w:tentative="0">
      <w:start w:val="1"/>
      <w:numFmt w:val="decimal"/>
      <w:lvlText w:val="%1"/>
      <w:lvlJc w:val="left"/>
      <w:pPr>
        <w:tabs>
          <w:tab w:val="left" w:pos="851"/>
        </w:tabs>
        <w:ind w:left="851" w:hanging="431"/>
      </w:pPr>
      <w:rPr>
        <w:rFonts w:hint="eastAsia"/>
        <w:b w:val="0"/>
        <w:color w:val="auto"/>
        <w:sz w:val="24"/>
        <w:szCs w:val="24"/>
      </w:rPr>
    </w:lvl>
    <w:lvl w:ilvl="1" w:tentative="0">
      <w:start w:val="1"/>
      <w:numFmt w:val="decimal"/>
      <w:lvlText w:val="%2"/>
      <w:lvlJc w:val="left"/>
      <w:pPr>
        <w:tabs>
          <w:tab w:val="left" w:pos="851"/>
        </w:tabs>
        <w:ind w:left="851" w:hanging="431"/>
      </w:pPr>
      <w:rPr>
        <w:rFonts w:hint="eastAsia" w:ascii="宋体" w:hAnsi="宋体" w:eastAsia="宋体"/>
        <w:b w:val="0"/>
        <w:color w:val="auto"/>
        <w:sz w:val="24"/>
        <w:szCs w:val="24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60CA0"/>
    <w:rsid w:val="2216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2019-03-26T05:50:00Z</dcterms:created>
  <dc:creator>Eve&amp;城</dc:creator>
  <cp:lastModifiedBy>Eve&amp;城</cp:lastModifiedBy>
  <dcterms:modified xsi:type="dcterms:W3CDTF">2019-03-26T05:54:21Z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